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6" w:type="dxa"/>
        <w:tblInd w:w="-336" w:type="dxa"/>
        <w:tblLayout w:type="fixed"/>
        <w:tblCellMar>
          <w:left w:w="0" w:type="dxa"/>
          <w:right w:w="0" w:type="dxa"/>
        </w:tblCellMar>
        <w:tblLook w:val="0000" w:firstRow="0" w:lastRow="0" w:firstColumn="0" w:lastColumn="0" w:noHBand="0" w:noVBand="0"/>
      </w:tblPr>
      <w:tblGrid>
        <w:gridCol w:w="3331"/>
        <w:gridCol w:w="1665"/>
        <w:gridCol w:w="1664"/>
        <w:gridCol w:w="3386"/>
      </w:tblGrid>
      <w:tr w:rsidR="0092615F" w:rsidRPr="0033607F" w14:paraId="7B76A3F0" w14:textId="77777777" w:rsidTr="7770CFA4">
        <w:trPr>
          <w:cantSplit/>
          <w:tblHeader/>
        </w:trPr>
        <w:tc>
          <w:tcPr>
            <w:tcW w:w="3331" w:type="dxa"/>
            <w:tcBorders>
              <w:top w:val="single" w:sz="4" w:space="0" w:color="auto"/>
              <w:left w:val="single" w:sz="4" w:space="0" w:color="000000" w:themeColor="text1"/>
              <w:bottom w:val="single" w:sz="6" w:space="0" w:color="auto"/>
              <w:right w:val="single" w:sz="4" w:space="0" w:color="000000" w:themeColor="text1"/>
            </w:tcBorders>
            <w:shd w:val="clear" w:color="auto" w:fill="auto"/>
            <w:tcMar>
              <w:top w:w="80" w:type="dxa"/>
              <w:left w:w="80" w:type="dxa"/>
              <w:bottom w:w="80" w:type="dxa"/>
              <w:right w:w="80" w:type="dxa"/>
            </w:tcMar>
          </w:tcPr>
          <w:p w14:paraId="6886BFF0" w14:textId="77777777" w:rsidR="0092615F" w:rsidRPr="00140D02" w:rsidRDefault="0092615F" w:rsidP="00140D02">
            <w:pPr>
              <w:pStyle w:val="APIQTablelist2"/>
              <w:rPr>
                <w:b/>
              </w:rPr>
            </w:pPr>
            <w:r w:rsidRPr="00140D02">
              <w:rPr>
                <w:b/>
              </w:rPr>
              <w:t xml:space="preserve">DATE: </w:t>
            </w:r>
          </w:p>
        </w:tc>
        <w:tc>
          <w:tcPr>
            <w:tcW w:w="3329" w:type="dxa"/>
            <w:gridSpan w:val="2"/>
            <w:tcBorders>
              <w:top w:val="single" w:sz="4" w:space="0" w:color="auto"/>
              <w:left w:val="single" w:sz="4" w:space="0" w:color="000000" w:themeColor="text1"/>
              <w:bottom w:val="single" w:sz="6" w:space="0" w:color="auto"/>
              <w:right w:val="single" w:sz="4" w:space="0" w:color="000000" w:themeColor="text1"/>
            </w:tcBorders>
            <w:shd w:val="clear" w:color="auto" w:fill="auto"/>
          </w:tcPr>
          <w:p w14:paraId="147E42B7" w14:textId="77777777" w:rsidR="0092615F" w:rsidRPr="00140D02" w:rsidRDefault="0092615F" w:rsidP="00140D02">
            <w:pPr>
              <w:pStyle w:val="APIQTablelist2"/>
              <w:rPr>
                <w:b/>
              </w:rPr>
            </w:pPr>
            <w:r w:rsidRPr="00140D02">
              <w:rPr>
                <w:b/>
              </w:rPr>
              <w:t>APPROVED BY:</w:t>
            </w:r>
            <w:r w:rsidRPr="006B1B8D">
              <w:rPr>
                <w:b/>
                <w:highlight w:val="lightGray"/>
              </w:rPr>
              <w:t xml:space="preserve"> </w:t>
            </w:r>
          </w:p>
        </w:tc>
        <w:tc>
          <w:tcPr>
            <w:tcW w:w="3386" w:type="dxa"/>
            <w:tcBorders>
              <w:top w:val="single" w:sz="4" w:space="0" w:color="auto"/>
              <w:left w:val="single" w:sz="4" w:space="0" w:color="000000" w:themeColor="text1"/>
              <w:bottom w:val="single" w:sz="6" w:space="0" w:color="auto"/>
              <w:right w:val="single" w:sz="4" w:space="0" w:color="000000" w:themeColor="text1"/>
            </w:tcBorders>
            <w:shd w:val="clear" w:color="auto" w:fill="auto"/>
          </w:tcPr>
          <w:p w14:paraId="4AD228DE" w14:textId="77777777" w:rsidR="0092615F" w:rsidRPr="00140D02" w:rsidRDefault="0092615F" w:rsidP="00140D02">
            <w:pPr>
              <w:pStyle w:val="APIQTablelist2"/>
              <w:rPr>
                <w:b/>
              </w:rPr>
            </w:pPr>
            <w:r w:rsidRPr="00140D02">
              <w:rPr>
                <w:b/>
              </w:rPr>
              <w:t xml:space="preserve">VERSION NO: </w:t>
            </w:r>
          </w:p>
        </w:tc>
      </w:tr>
      <w:tr w:rsidR="0092615F" w:rsidRPr="006C33EF" w14:paraId="63DE5533" w14:textId="77777777" w:rsidTr="7770CFA4">
        <w:trPr>
          <w:cantSplit/>
        </w:trPr>
        <w:tc>
          <w:tcPr>
            <w:tcW w:w="10046" w:type="dxa"/>
            <w:gridSpan w:val="4"/>
            <w:tcBorders>
              <w:top w:val="single" w:sz="6" w:space="0" w:color="auto"/>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7C1F7B" w14:textId="77777777" w:rsidR="0092615F" w:rsidRPr="00140D02" w:rsidRDefault="0092615F" w:rsidP="00140D02">
            <w:pPr>
              <w:pStyle w:val="APIQTablelist2"/>
              <w:rPr>
                <w:b/>
              </w:rPr>
            </w:pPr>
            <w:r w:rsidRPr="00140D02">
              <w:rPr>
                <w:b/>
                <w:sz w:val="30"/>
                <w:szCs w:val="30"/>
              </w:rPr>
              <w:t>Purpose:</w:t>
            </w:r>
          </w:p>
          <w:p w14:paraId="61D07DBC" w14:textId="77777777" w:rsidR="007867AB" w:rsidRDefault="0092615F" w:rsidP="7770CFA4">
            <w:pPr>
              <w:pStyle w:val="APIQTableNumbered1"/>
              <w:numPr>
                <w:ilvl w:val="0"/>
                <w:numId w:val="4"/>
              </w:numPr>
              <w:spacing w:line="240" w:lineRule="auto"/>
            </w:pPr>
            <w:r>
              <w:t xml:space="preserve">To minimise </w:t>
            </w:r>
            <w:r w:rsidR="000E3910">
              <w:t>the prevalence</w:t>
            </w:r>
            <w:r>
              <w:t xml:space="preserve"> of</w:t>
            </w:r>
            <w:r w:rsidR="000E3910">
              <w:t xml:space="preserve"> mosquitos within pork production systems</w:t>
            </w:r>
            <w:r>
              <w:t>.</w:t>
            </w:r>
          </w:p>
          <w:p w14:paraId="16747D26" w14:textId="6BB4D37C" w:rsidR="0092615F" w:rsidRDefault="0092615F" w:rsidP="7770CFA4">
            <w:pPr>
              <w:pStyle w:val="APIQTableNumbered1"/>
              <w:numPr>
                <w:ilvl w:val="0"/>
                <w:numId w:val="4"/>
              </w:numPr>
              <w:spacing w:line="240" w:lineRule="auto"/>
            </w:pPr>
            <w:r>
              <w:t xml:space="preserve">By minimising the </w:t>
            </w:r>
            <w:r w:rsidR="000E3910">
              <w:t>prevalence</w:t>
            </w:r>
            <w:r>
              <w:t xml:space="preserve"> of </w:t>
            </w:r>
            <w:r w:rsidR="000E3910">
              <w:t>mosquitos on the property</w:t>
            </w:r>
            <w:r>
              <w:t>,</w:t>
            </w:r>
            <w:r w:rsidR="000E3910">
              <w:t xml:space="preserve"> the risk</w:t>
            </w:r>
            <w:r w:rsidR="006B1D3D">
              <w:t xml:space="preserve"> of</w:t>
            </w:r>
            <w:r>
              <w:t xml:space="preserve"> biological hazards</w:t>
            </w:r>
            <w:r w:rsidR="000E3910">
              <w:t xml:space="preserve"> </w:t>
            </w:r>
            <w:r>
              <w:t xml:space="preserve">such as </w:t>
            </w:r>
            <w:r w:rsidR="000E3910" w:rsidRPr="00747BB2">
              <w:t xml:space="preserve">Japanese </w:t>
            </w:r>
            <w:r w:rsidR="00E312B4" w:rsidRPr="00747BB2">
              <w:t>e</w:t>
            </w:r>
            <w:r w:rsidR="000E3910" w:rsidRPr="00747BB2">
              <w:t>ncephalitis</w:t>
            </w:r>
            <w:r w:rsidR="000E3910" w:rsidRPr="7770CFA4">
              <w:rPr>
                <w:i/>
                <w:iCs/>
              </w:rPr>
              <w:t xml:space="preserve"> </w:t>
            </w:r>
            <w:r>
              <w:t>can be reduced in the piggery environment.</w:t>
            </w:r>
          </w:p>
          <w:p w14:paraId="0DF1EB35" w14:textId="227685B4" w:rsidR="007867AB" w:rsidRPr="00140D02" w:rsidRDefault="007867AB" w:rsidP="7770CFA4">
            <w:pPr>
              <w:pStyle w:val="APIQTableNumbered1"/>
              <w:numPr>
                <w:ilvl w:val="0"/>
                <w:numId w:val="4"/>
              </w:numPr>
              <w:spacing w:line="240" w:lineRule="auto"/>
            </w:pPr>
            <w:r>
              <w:t>Prevent</w:t>
            </w:r>
            <w:r w:rsidR="000E3910">
              <w:t xml:space="preserve"> </w:t>
            </w:r>
            <w:r w:rsidR="00C223BC">
              <w:t>chemical (</w:t>
            </w:r>
            <w:r w:rsidR="00824B09">
              <w:t>insecticide</w:t>
            </w:r>
            <w:r w:rsidR="00C223BC">
              <w:t>)</w:t>
            </w:r>
            <w:r>
              <w:t xml:space="preserve"> residues in pork.</w:t>
            </w:r>
          </w:p>
          <w:p w14:paraId="14D8FFE9" w14:textId="77777777" w:rsidR="0092615F" w:rsidRPr="00140D02" w:rsidRDefault="0092615F" w:rsidP="00D56AF0">
            <w:pPr>
              <w:pStyle w:val="APIQTablelist2"/>
              <w:rPr>
                <w:rFonts w:ascii="Calibri-Italic" w:hAnsi="Calibri-Italic" w:cs="Calibri-Italic"/>
                <w:i/>
                <w:iCs/>
              </w:rPr>
            </w:pPr>
            <w:r w:rsidRPr="00140D02">
              <w:t>Also relates to APIQ</w:t>
            </w:r>
            <w:r w:rsidRPr="00140D02">
              <w:rPr>
                <w:rFonts w:ascii="Wingdings 2" w:eastAsia="Wingdings 2" w:hAnsi="Wingdings 2" w:cs="Wingdings 2"/>
              </w:rPr>
              <w:t>P</w:t>
            </w:r>
            <w:r w:rsidRPr="00140D02">
              <w:t xml:space="preserve">® Standard 4.4 </w:t>
            </w:r>
          </w:p>
        </w:tc>
      </w:tr>
      <w:tr w:rsidR="0092615F" w14:paraId="00D5AF8D"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777146" w14:textId="77777777" w:rsidR="0092615F" w:rsidRPr="00140D02" w:rsidRDefault="0092615F" w:rsidP="00140D02">
            <w:pPr>
              <w:pStyle w:val="APIQTablelist2"/>
              <w:rPr>
                <w:b/>
              </w:rPr>
            </w:pPr>
            <w:r w:rsidRPr="00140D02">
              <w:rPr>
                <w:b/>
              </w:rPr>
              <w:t>Action and Person Responsible</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416BE9" w14:textId="77777777" w:rsidR="0092615F" w:rsidRPr="00140D02" w:rsidRDefault="0092615F" w:rsidP="00140D02">
            <w:pPr>
              <w:pStyle w:val="APIQTablelist2"/>
              <w:rPr>
                <w:b/>
              </w:rPr>
            </w:pPr>
            <w:r w:rsidRPr="00140D02">
              <w:rPr>
                <w:b/>
              </w:rPr>
              <w:t>Record(s)</w:t>
            </w:r>
          </w:p>
        </w:tc>
      </w:tr>
      <w:tr w:rsidR="0092615F" w:rsidRPr="007470E4" w14:paraId="77110DA1" w14:textId="77777777" w:rsidTr="7770CFA4">
        <w:trPr>
          <w:cantSplit/>
        </w:trPr>
        <w:tc>
          <w:tcPr>
            <w:tcW w:w="100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0BC68E6" w14:textId="77777777" w:rsidR="0092615F" w:rsidRPr="00140D02" w:rsidRDefault="0092615F" w:rsidP="00140D02">
            <w:pPr>
              <w:pStyle w:val="APIQTablelist2"/>
              <w:rPr>
                <w:b/>
                <w:shd w:val="solid" w:color="FFFFFF" w:fill="FFFFFF"/>
              </w:rPr>
            </w:pPr>
            <w:r w:rsidRPr="006B1B8D">
              <w:rPr>
                <w:b/>
                <w:highlight w:val="lightGray"/>
                <w:vertAlign w:val="subscript"/>
              </w:rPr>
              <w:fldChar w:fldCharType="begin">
                <w:ffData>
                  <w:name w:val="Check2"/>
                  <w:enabled/>
                  <w:calcOnExit w:val="0"/>
                  <w:checkBox>
                    <w:sizeAuto/>
                    <w:default w:val="0"/>
                    <w:checked w:val="0"/>
                  </w:checkBox>
                </w:ffData>
              </w:fldChar>
            </w:r>
            <w:r w:rsidRPr="006B1B8D">
              <w:rPr>
                <w:b/>
                <w:highlight w:val="lightGray"/>
                <w:vertAlign w:val="subscript"/>
              </w:rPr>
              <w:instrText xml:space="preserve"> FORMCHECKBOX </w:instrText>
            </w:r>
            <w:r w:rsidR="00C834BF">
              <w:rPr>
                <w:b/>
                <w:highlight w:val="lightGray"/>
                <w:vertAlign w:val="subscript"/>
              </w:rPr>
            </w:r>
            <w:r w:rsidR="00C834BF">
              <w:rPr>
                <w:b/>
                <w:highlight w:val="lightGray"/>
                <w:vertAlign w:val="subscript"/>
              </w:rPr>
              <w:fldChar w:fldCharType="separate"/>
            </w:r>
            <w:r w:rsidRPr="006B1B8D">
              <w:rPr>
                <w:b/>
                <w:highlight w:val="lightGray"/>
                <w:vertAlign w:val="subscript"/>
              </w:rPr>
              <w:fldChar w:fldCharType="end"/>
            </w:r>
            <w:r w:rsidRPr="00140D02">
              <w:rPr>
                <w:b/>
                <w:vertAlign w:val="subscript"/>
              </w:rPr>
              <w:t xml:space="preserve"> </w:t>
            </w:r>
            <w:r w:rsidRPr="00140D02">
              <w:rPr>
                <w:b/>
                <w:shd w:val="solid" w:color="FFFFFF" w:fill="FFFFFF"/>
              </w:rPr>
              <w:t xml:space="preserve">Owner      </w:t>
            </w:r>
            <w:r w:rsidRPr="006B1B8D">
              <w:rPr>
                <w:b/>
                <w:highlight w:val="lightGray"/>
                <w:shd w:val="solid" w:color="FFFFFF" w:fill="FFFFFF"/>
                <w:vertAlign w:val="subscript"/>
              </w:rPr>
              <w:fldChar w:fldCharType="begin">
                <w:ffData>
                  <w:name w:val="Check3"/>
                  <w:enabled/>
                  <w:calcOnExit w:val="0"/>
                  <w:checkBox>
                    <w:sizeAuto/>
                    <w:default w:val="0"/>
                    <w:checked w:val="0"/>
                  </w:checkBox>
                </w:ffData>
              </w:fldChar>
            </w:r>
            <w:r w:rsidRPr="006B1B8D">
              <w:rPr>
                <w:b/>
                <w:highlight w:val="lightGray"/>
                <w:shd w:val="solid" w:color="FFFFFF" w:fill="FFFFFF"/>
                <w:vertAlign w:val="subscript"/>
              </w:rPr>
              <w:instrText xml:space="preserve"> FORMCHECKBOX </w:instrText>
            </w:r>
            <w:r w:rsidR="00C834BF">
              <w:rPr>
                <w:b/>
                <w:highlight w:val="lightGray"/>
                <w:shd w:val="solid" w:color="FFFFFF" w:fill="FFFFFF"/>
                <w:vertAlign w:val="subscript"/>
              </w:rPr>
            </w:r>
            <w:r w:rsidR="00C834BF">
              <w:rPr>
                <w:b/>
                <w:highlight w:val="lightGray"/>
                <w:shd w:val="solid" w:color="FFFFFF" w:fill="FFFFFF"/>
                <w:vertAlign w:val="subscript"/>
              </w:rPr>
              <w:fldChar w:fldCharType="separate"/>
            </w:r>
            <w:r w:rsidRPr="006B1B8D">
              <w:rPr>
                <w:b/>
                <w:highlight w:val="lightGray"/>
                <w:shd w:val="solid" w:color="FFFFFF" w:fill="FFFFFF"/>
                <w:vertAlign w:val="subscript"/>
              </w:rPr>
              <w:fldChar w:fldCharType="end"/>
            </w:r>
            <w:r w:rsidRPr="00140D02">
              <w:rPr>
                <w:b/>
                <w:shd w:val="solid" w:color="FFFFFF" w:fill="FFFFFF"/>
              </w:rPr>
              <w:t xml:space="preserve"> Manager      </w:t>
            </w:r>
            <w:r w:rsidRPr="006B1B8D">
              <w:rPr>
                <w:b/>
                <w:highlight w:val="lightGray"/>
                <w:shd w:val="solid" w:color="FFFFFF" w:fill="FFFFFF"/>
                <w:vertAlign w:val="subscript"/>
              </w:rPr>
              <w:fldChar w:fldCharType="begin">
                <w:ffData>
                  <w:name w:val="Check4"/>
                  <w:enabled/>
                  <w:calcOnExit w:val="0"/>
                  <w:checkBox>
                    <w:sizeAuto/>
                    <w:default w:val="0"/>
                  </w:checkBox>
                </w:ffData>
              </w:fldChar>
            </w:r>
            <w:r w:rsidRPr="006B1B8D">
              <w:rPr>
                <w:b/>
                <w:highlight w:val="lightGray"/>
                <w:shd w:val="solid" w:color="FFFFFF" w:fill="FFFFFF"/>
                <w:vertAlign w:val="subscript"/>
              </w:rPr>
              <w:instrText xml:space="preserve"> FORMCHECKBOX </w:instrText>
            </w:r>
            <w:r w:rsidR="00C834BF">
              <w:rPr>
                <w:b/>
                <w:highlight w:val="lightGray"/>
                <w:shd w:val="solid" w:color="FFFFFF" w:fill="FFFFFF"/>
                <w:vertAlign w:val="subscript"/>
              </w:rPr>
            </w:r>
            <w:r w:rsidR="00C834BF">
              <w:rPr>
                <w:b/>
                <w:highlight w:val="lightGray"/>
                <w:shd w:val="solid" w:color="FFFFFF" w:fill="FFFFFF"/>
                <w:vertAlign w:val="subscript"/>
              </w:rPr>
              <w:fldChar w:fldCharType="separate"/>
            </w:r>
            <w:r w:rsidRPr="006B1B8D">
              <w:rPr>
                <w:b/>
                <w:highlight w:val="lightGray"/>
                <w:shd w:val="solid" w:color="FFFFFF" w:fill="FFFFFF"/>
                <w:vertAlign w:val="subscript"/>
              </w:rPr>
              <w:fldChar w:fldCharType="end"/>
            </w:r>
            <w:r w:rsidRPr="00140D02">
              <w:rPr>
                <w:b/>
                <w:shd w:val="solid" w:color="FFFFFF" w:fill="FFFFFF"/>
              </w:rPr>
              <w:t xml:space="preserve"> Staff    </w:t>
            </w:r>
            <w:r w:rsidRPr="006B1B8D">
              <w:rPr>
                <w:b/>
                <w:highlight w:val="lightGray"/>
                <w:shd w:val="solid" w:color="FFFFFF" w:fill="FFFFFF"/>
                <w:vertAlign w:val="subscript"/>
              </w:rPr>
              <w:fldChar w:fldCharType="begin">
                <w:ffData>
                  <w:name w:val="Check5"/>
                  <w:enabled/>
                  <w:calcOnExit w:val="0"/>
                  <w:checkBox>
                    <w:sizeAuto/>
                    <w:default w:val="0"/>
                    <w:checked w:val="0"/>
                  </w:checkBox>
                </w:ffData>
              </w:fldChar>
            </w:r>
            <w:r w:rsidRPr="006B1B8D">
              <w:rPr>
                <w:b/>
                <w:highlight w:val="lightGray"/>
                <w:shd w:val="solid" w:color="FFFFFF" w:fill="FFFFFF"/>
                <w:vertAlign w:val="subscript"/>
              </w:rPr>
              <w:instrText xml:space="preserve"> FORMCHECKBOX </w:instrText>
            </w:r>
            <w:r w:rsidR="00C834BF">
              <w:rPr>
                <w:b/>
                <w:highlight w:val="lightGray"/>
                <w:shd w:val="solid" w:color="FFFFFF" w:fill="FFFFFF"/>
                <w:vertAlign w:val="subscript"/>
              </w:rPr>
            </w:r>
            <w:r w:rsidR="00C834BF">
              <w:rPr>
                <w:b/>
                <w:highlight w:val="lightGray"/>
                <w:shd w:val="solid" w:color="FFFFFF" w:fill="FFFFFF"/>
                <w:vertAlign w:val="subscript"/>
              </w:rPr>
              <w:fldChar w:fldCharType="separate"/>
            </w:r>
            <w:r w:rsidRPr="006B1B8D">
              <w:rPr>
                <w:b/>
                <w:highlight w:val="lightGray"/>
                <w:shd w:val="solid" w:color="FFFFFF" w:fill="FFFFFF"/>
                <w:vertAlign w:val="subscript"/>
              </w:rPr>
              <w:fldChar w:fldCharType="end"/>
            </w:r>
            <w:r w:rsidRPr="00140D02">
              <w:rPr>
                <w:b/>
                <w:shd w:val="solid" w:color="FFFFFF" w:fill="FFFFFF"/>
              </w:rPr>
              <w:t xml:space="preserve"> Other (please specify): </w:t>
            </w:r>
          </w:p>
        </w:tc>
      </w:tr>
      <w:tr w:rsidR="00E312B4" w14:paraId="7CF6744D"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277DEB" w14:textId="7732B4AE" w:rsidR="00E312B4" w:rsidRDefault="00E312B4" w:rsidP="00751B5F">
            <w:pPr>
              <w:pStyle w:val="APIQTablelist2"/>
            </w:pPr>
            <w:r>
              <w:t xml:space="preserve">A copy of </w:t>
            </w:r>
            <w:hyperlink r:id="rId10" w:history="1">
              <w:r w:rsidR="003B2A11" w:rsidRPr="003B2A11">
                <w:rPr>
                  <w:rStyle w:val="Hyperlink"/>
                  <w:lang w:val="en-US"/>
                </w:rPr>
                <w:t>Integrated Mosquito Management Principles for Piggeries</w:t>
              </w:r>
            </w:hyperlink>
            <w:r>
              <w:t xml:space="preserve"> is available</w:t>
            </w:r>
            <w:r w:rsidR="004F0DB6">
              <w:t xml:space="preserve"> </w:t>
            </w:r>
            <w:r>
              <w:t xml:space="preserve"> </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167E41" w14:textId="350012D4" w:rsidR="00E312B4" w:rsidRDefault="003B2A11" w:rsidP="00751B5F">
            <w:pPr>
              <w:pStyle w:val="APIQTablelist2"/>
            </w:pPr>
            <w:hyperlink r:id="rId11" w:history="1">
              <w:r w:rsidRPr="00045B2A">
                <w:rPr>
                  <w:rStyle w:val="Hyperlink"/>
                </w:rPr>
                <w:t>Integrated Mosquito Management Principles for Piggeries</w:t>
              </w:r>
            </w:hyperlink>
          </w:p>
        </w:tc>
      </w:tr>
      <w:tr w:rsidR="00751B5F" w14:paraId="1EB322DB"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A18D6B" w14:textId="419E723C" w:rsidR="00751B5F" w:rsidRPr="00140D02" w:rsidDel="0004317C" w:rsidRDefault="00751B5F" w:rsidP="00751B5F">
            <w:pPr>
              <w:pStyle w:val="APIQTablelist2"/>
            </w:pPr>
            <w:r>
              <w:t xml:space="preserve">Mosquito activity </w:t>
            </w:r>
            <w:r w:rsidR="00F23617">
              <w:t xml:space="preserve">is </w:t>
            </w:r>
            <w:r w:rsidR="005B0183">
              <w:t>monitored,</w:t>
            </w:r>
            <w:r w:rsidR="00F23617">
              <w:t xml:space="preserve"> </w:t>
            </w:r>
            <w:r>
              <w:t>and prevalence is recorded</w:t>
            </w:r>
            <w:r w:rsidR="005B0183">
              <w:t>,</w:t>
            </w:r>
            <w:r>
              <w:t xml:space="preserve"> as a</w:t>
            </w:r>
            <w:r w:rsidR="00F23617">
              <w:t xml:space="preserve"> </w:t>
            </w:r>
            <w:r>
              <w:t>part of the control activities.</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BB0B74" w14:textId="4AB4928A" w:rsidR="00751B5F" w:rsidRPr="00140D02" w:rsidRDefault="00751B5F" w:rsidP="00751B5F">
            <w:pPr>
              <w:pStyle w:val="APIQTablelist2"/>
            </w:pPr>
            <w:r>
              <w:t>Mosquito Control Record</w:t>
            </w:r>
          </w:p>
        </w:tc>
      </w:tr>
      <w:tr w:rsidR="00751B5F" w14:paraId="5CA94E2F" w14:textId="77777777" w:rsidTr="00DE1839">
        <w:trPr>
          <w:cantSplit/>
          <w:trHeight w:val="844"/>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E6599A" w14:textId="6B351E6E" w:rsidR="00751B5F" w:rsidRPr="00140D02" w:rsidRDefault="00E312B4" w:rsidP="005B0183">
            <w:pPr>
              <w:pStyle w:val="APIQTablelist2"/>
              <w:ind w:left="0"/>
            </w:pPr>
            <w:r>
              <w:t>R</w:t>
            </w:r>
            <w:r w:rsidR="00751B5F">
              <w:t xml:space="preserve">eduction of standing water sources and removal of objects out in the open that could potentially form/hold bodies of water </w:t>
            </w:r>
            <w:proofErr w:type="gramStart"/>
            <w:r w:rsidR="00751B5F">
              <w:t>e.g.</w:t>
            </w:r>
            <w:proofErr w:type="gramEnd"/>
            <w:r w:rsidR="00751B5F">
              <w:t xml:space="preserve"> redundant equipment, scrap metal, tyres, drums etc. </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0840C3" w14:textId="15A3DD77" w:rsidR="00751B5F" w:rsidRPr="00751B5F" w:rsidRDefault="00751B5F" w:rsidP="00751B5F">
            <w:pPr>
              <w:pStyle w:val="APIQTablelist2"/>
            </w:pPr>
            <w:r w:rsidRPr="00140D02">
              <w:t>Piggery Maintenance Record/Diary</w:t>
            </w:r>
            <w:r>
              <w:t>/Observation</w:t>
            </w:r>
          </w:p>
        </w:tc>
      </w:tr>
      <w:tr w:rsidR="00751B5F" w14:paraId="759AFCD4"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2936A4" w14:textId="6C9A405D" w:rsidR="00751B5F" w:rsidRDefault="00E312B4" w:rsidP="00751B5F">
            <w:pPr>
              <w:pStyle w:val="APIQTablelist2"/>
            </w:pPr>
            <w:r>
              <w:t xml:space="preserve">Fill </w:t>
            </w:r>
            <w:r w:rsidR="00751B5F">
              <w:t>potholes and other unwanted potential water catchments around the farm.</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21C0D" w14:textId="77777777" w:rsidR="00751B5F" w:rsidRDefault="00751B5F" w:rsidP="00751B5F">
            <w:pPr>
              <w:pStyle w:val="APIQTablelist2"/>
            </w:pPr>
            <w:r w:rsidRPr="00140D02">
              <w:t>Piggery Maintenance Record/Diary</w:t>
            </w:r>
            <w:r>
              <w:t>/Observation</w:t>
            </w:r>
          </w:p>
        </w:tc>
      </w:tr>
      <w:tr w:rsidR="00097010" w14:paraId="4C6FF4DC"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CB3D1E" w14:textId="102DADCB" w:rsidR="00097010" w:rsidRDefault="00097010" w:rsidP="00751B5F">
            <w:pPr>
              <w:pStyle w:val="APIQTablelist2"/>
            </w:pPr>
            <w:r>
              <w:t>Ensure gutters, downpipes, and drains around buildings are free of debris that prevents the free flow of water. Trim overhanging tree branches.</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4766C" w14:textId="1B70726C" w:rsidR="00097010" w:rsidRPr="00140D02" w:rsidRDefault="00595BC6" w:rsidP="00751B5F">
            <w:pPr>
              <w:pStyle w:val="APIQTablelist2"/>
            </w:pPr>
            <w:r w:rsidRPr="00140D02">
              <w:t>Piggery Maintenance Record/Diary</w:t>
            </w:r>
            <w:r>
              <w:t>/Observation</w:t>
            </w:r>
          </w:p>
        </w:tc>
      </w:tr>
      <w:tr w:rsidR="00751B5F" w14:paraId="0F1551D8"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E2569D" w14:textId="77777777" w:rsidR="00751B5F" w:rsidRPr="00140D02" w:rsidRDefault="00751B5F" w:rsidP="00751B5F">
            <w:pPr>
              <w:pStyle w:val="APIQTablelist2"/>
            </w:pPr>
            <w:r>
              <w:t>Ensure effluent drainage is free flowing, flushed regularly and does not pool. Where practical seal uncovered water storage such as tanks or other large containers, or screen with 1mm mesh.</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199C7" w14:textId="77777777" w:rsidR="00751B5F" w:rsidRPr="00140D02" w:rsidRDefault="00751B5F" w:rsidP="00751B5F">
            <w:pPr>
              <w:pStyle w:val="APIQTablelist2"/>
            </w:pPr>
            <w:r>
              <w:t>Piggery Maintenance Record/Diary</w:t>
            </w:r>
          </w:p>
        </w:tc>
      </w:tr>
      <w:tr w:rsidR="004F0DB6" w14:paraId="4C5A1B14"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1CA6CE" w14:textId="63B0613A" w:rsidR="004F0DB6" w:rsidRDefault="004F0DB6" w:rsidP="00747BB2">
            <w:pPr>
              <w:pStyle w:val="APIQTablelist2"/>
              <w:ind w:left="0"/>
            </w:pPr>
            <w:r>
              <w:t>Manage vegetation around the piggery and ponded areas to minimise areas where adult mosquitoes can congregate</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37EBB4" w14:textId="6AC0525B" w:rsidR="004F0DB6" w:rsidRDefault="0027464F" w:rsidP="00751B5F">
            <w:pPr>
              <w:pStyle w:val="APIQTablelist2"/>
            </w:pPr>
            <w:r>
              <w:t>Piggery Maintenance Record/Diary</w:t>
            </w:r>
          </w:p>
        </w:tc>
      </w:tr>
      <w:tr w:rsidR="00751B5F" w14:paraId="62F9EE7B" w14:textId="77777777" w:rsidTr="00DE1839">
        <w:trPr>
          <w:cantSplit/>
          <w:trHeight w:val="1188"/>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D8731CA" w14:textId="1063238C" w:rsidR="00751B5F" w:rsidRDefault="00234EA1" w:rsidP="00751B5F">
            <w:pPr>
              <w:pStyle w:val="APIQTablelist2"/>
            </w:pPr>
            <w:r>
              <w:lastRenderedPageBreak/>
              <w:t>Chemicals</w:t>
            </w:r>
            <w:r w:rsidR="00751B5F">
              <w:t xml:space="preserve"> used for the control of mosquitos</w:t>
            </w:r>
            <w:r w:rsidR="00751B5F" w:rsidRPr="00140D02">
              <w:t xml:space="preserve"> are </w:t>
            </w:r>
            <w:r w:rsidR="00751B5F">
              <w:t>applied</w:t>
            </w:r>
            <w:r w:rsidR="004F0DB6">
              <w:t xml:space="preserve"> in accordance with</w:t>
            </w:r>
            <w:r w:rsidR="00751B5F" w:rsidRPr="00140D02">
              <w:t xml:space="preserve"> regulatory requirements for use</w:t>
            </w:r>
            <w:r w:rsidR="00751B5F">
              <w:t xml:space="preserve"> and application</w:t>
            </w:r>
            <w:r w:rsidR="00751B5F" w:rsidRPr="00140D02">
              <w:t>.</w:t>
            </w:r>
            <w:r w:rsidR="00751B5F">
              <w:t xml:space="preserve"> </w:t>
            </w:r>
          </w:p>
          <w:p w14:paraId="3FF18A2F" w14:textId="1C121A49" w:rsidR="00751B5F" w:rsidRPr="00140D02" w:rsidRDefault="00751B5F" w:rsidP="00751B5F">
            <w:pPr>
              <w:pStyle w:val="APIQTablelist2"/>
            </w:pPr>
            <w:r>
              <w:t xml:space="preserve">For detailed information please refer to the </w:t>
            </w:r>
            <w:hyperlink r:id="rId12" w:history="1">
              <w:r w:rsidRPr="00045B2A">
                <w:rPr>
                  <w:rStyle w:val="Hyperlink"/>
                </w:rPr>
                <w:t>Integrated Mosquito Management Principles for Piggeries</w:t>
              </w:r>
            </w:hyperlink>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4F0830" w14:textId="77777777" w:rsidR="00751B5F" w:rsidRPr="00140D02" w:rsidRDefault="00751B5F" w:rsidP="00751B5F">
            <w:pPr>
              <w:pStyle w:val="APIQTablelist2"/>
            </w:pPr>
            <w:r>
              <w:t>Mosquito Control Record/Integrated Mosquito Management Principles for Piggeries/</w:t>
            </w:r>
            <w:r w:rsidRPr="00140D02">
              <w:t>Pest Control Plan/Diary</w:t>
            </w:r>
          </w:p>
        </w:tc>
      </w:tr>
      <w:tr w:rsidR="00751B5F" w14:paraId="0F8F6703"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3EC4BE" w14:textId="77777777" w:rsidR="00751B5F" w:rsidRPr="00140D02" w:rsidRDefault="00751B5F" w:rsidP="00751B5F">
            <w:pPr>
              <w:pStyle w:val="APIQTablelist2"/>
            </w:pPr>
            <w:r>
              <w:t>Use and application details</w:t>
            </w:r>
            <w:r w:rsidRPr="00140D02">
              <w:t xml:space="preserve"> are recorded on the</w:t>
            </w:r>
            <w:r>
              <w:t xml:space="preserve"> Mosquito</w:t>
            </w:r>
            <w:r w:rsidRPr="00140D02">
              <w:t xml:space="preserve"> Control Record and a locality map of</w:t>
            </w:r>
            <w:r>
              <w:t xml:space="preserve"> where</w:t>
            </w:r>
            <w:r w:rsidRPr="00140D02">
              <w:t xml:space="preserve"> the </w:t>
            </w:r>
            <w:r>
              <w:t xml:space="preserve">mosquito treatments occurs and/or where the </w:t>
            </w:r>
            <w:r w:rsidRPr="00140D02">
              <w:t xml:space="preserve">traps </w:t>
            </w:r>
            <w:r>
              <w:t>are located is</w:t>
            </w:r>
            <w:r w:rsidRPr="00140D02">
              <w:t xml:space="preserve"> attached.</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E819E" w14:textId="77777777" w:rsidR="00751B5F" w:rsidRPr="00140D02" w:rsidRDefault="00751B5F" w:rsidP="00751B5F">
            <w:pPr>
              <w:pStyle w:val="APIQTablelist2"/>
            </w:pPr>
            <w:r>
              <w:t>Map of treatment zones (Producers to use site map) /Mosquito Control</w:t>
            </w:r>
            <w:r w:rsidRPr="00140D02">
              <w:t xml:space="preserve"> Record/Diary</w:t>
            </w:r>
            <w:r>
              <w:t>/Contractor activity report.</w:t>
            </w:r>
          </w:p>
        </w:tc>
      </w:tr>
      <w:tr w:rsidR="00E66892" w14:paraId="0A653C4E" w14:textId="77777777" w:rsidTr="7770CFA4">
        <w:trPr>
          <w:cantSplit/>
        </w:trPr>
        <w:tc>
          <w:tcPr>
            <w:tcW w:w="49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1E25C9" w14:textId="0E91D289" w:rsidR="00E66892" w:rsidRDefault="00E66892" w:rsidP="00751B5F">
            <w:pPr>
              <w:pStyle w:val="APIQTablelist2"/>
            </w:pPr>
            <w:r>
              <w:t>Farm worker</w:t>
            </w:r>
            <w:r w:rsidR="00661D06">
              <w:t>s</w:t>
            </w:r>
            <w:r>
              <w:t>, family members and property residents are aware of the symptoms of Japanese encephalitis and how to keep themselves protected</w:t>
            </w:r>
          </w:p>
        </w:tc>
        <w:tc>
          <w:tcPr>
            <w:tcW w:w="5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9C61EC" w14:textId="11AA72F9" w:rsidR="00E66892" w:rsidRDefault="00747BB2" w:rsidP="00751B5F">
            <w:pPr>
              <w:pStyle w:val="APIQTablelist2"/>
            </w:pPr>
            <w:r w:rsidRPr="00747BB2">
              <w:rPr>
                <w:lang w:val="en-US"/>
              </w:rPr>
              <w:t xml:space="preserve">Refer to the Department of Health’s factsheet on </w:t>
            </w:r>
            <w:hyperlink r:id="rId13" w:history="1">
              <w:r w:rsidRPr="00747BB2">
                <w:rPr>
                  <w:rStyle w:val="Hyperlink"/>
                  <w:lang w:val="en-US"/>
                </w:rPr>
                <w:t>Protecting Australians from JEV</w:t>
              </w:r>
            </w:hyperlink>
            <w:r w:rsidRPr="00747BB2">
              <w:rPr>
                <w:lang w:val="en-US"/>
              </w:rPr>
              <w:t>.</w:t>
            </w:r>
          </w:p>
        </w:tc>
      </w:tr>
    </w:tbl>
    <w:p w14:paraId="27F63904" w14:textId="77777777" w:rsidR="006151AB" w:rsidRPr="00497BA3" w:rsidRDefault="006151AB" w:rsidP="006151AB">
      <w:pPr>
        <w:tabs>
          <w:tab w:val="left" w:pos="1773"/>
        </w:tabs>
        <w:rPr>
          <w:lang w:val="en-AU"/>
        </w:rPr>
      </w:pPr>
    </w:p>
    <w:sectPr w:rsidR="006151AB" w:rsidRPr="00497BA3" w:rsidSect="006151AB">
      <w:headerReference w:type="even" r:id="rId14"/>
      <w:headerReference w:type="default" r:id="rId15"/>
      <w:footerReference w:type="default" r:id="rId16"/>
      <w:pgSz w:w="11900" w:h="16840"/>
      <w:pgMar w:top="-1418" w:right="843" w:bottom="1418" w:left="1418" w:header="284"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F41D" w14:textId="77777777" w:rsidR="00DA50C6" w:rsidRDefault="00DA50C6" w:rsidP="006151AB">
      <w:pPr>
        <w:spacing w:after="0"/>
      </w:pPr>
      <w:r>
        <w:separator/>
      </w:r>
    </w:p>
  </w:endnote>
  <w:endnote w:type="continuationSeparator" w:id="0">
    <w:p w14:paraId="28C4F1B8" w14:textId="77777777" w:rsidR="00DA50C6" w:rsidRDefault="00DA50C6" w:rsidP="00615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Wingdings 2">
    <w:altName w:val="Wingdings 2"/>
    <w:panose1 w:val="05020102010507070707"/>
    <w:charset w:val="02"/>
    <w:family w:val="roman"/>
    <w:pitch w:val="variable"/>
    <w:sig w:usb0="00000000" w:usb1="10000000" w:usb2="00000000" w:usb3="00000000" w:csb0="80000000"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E075" w14:textId="280E76D5" w:rsidR="006151AB" w:rsidRPr="005D6AEE" w:rsidRDefault="006151AB" w:rsidP="006151AB">
    <w:pPr>
      <w:ind w:left="-168"/>
      <w:rPr>
        <w:rFonts w:ascii="Calibri" w:hAnsi="Calibri"/>
        <w:sz w:val="12"/>
      </w:rPr>
    </w:pPr>
    <w:r w:rsidRPr="005D6AEE">
      <w:rPr>
        <w:rFonts w:ascii="Calibri" w:hAnsi="Calibri"/>
        <w:b/>
        <w:sz w:val="12"/>
      </w:rPr>
      <w:t>Disclaimer</w:t>
    </w:r>
    <w:r>
      <w:rPr>
        <w:rFonts w:ascii="Calibri" w:hAnsi="Calibri"/>
        <w:sz w:val="12"/>
      </w:rPr>
      <w:t xml:space="preserve">: </w:t>
    </w:r>
    <w:r w:rsidRPr="005D6AEE">
      <w:rPr>
        <w:rFonts w:ascii="Calibri" w:hAnsi="Calibri"/>
        <w:sz w:val="12"/>
      </w:rPr>
      <w:t>The opinions, advice and information contained in this publication have not been provided at the request of any person but are offered by Australian Pork Limited as general comments to assist pig producers meet the standards of the Australian Pork Industry Quality Assurance Program (APIQ</w:t>
    </w:r>
    <w:r w:rsidRPr="00415692">
      <w:rPr>
        <w:rFonts w:ascii="Wingdings 2" w:eastAsia="Wingdings 2" w:hAnsi="Wingdings 2" w:cs="Wingdings 2"/>
        <w:sz w:val="12"/>
      </w:rPr>
      <w:t>P</w:t>
    </w:r>
    <w:r w:rsidR="00BC44A0">
      <w:rPr>
        <w:rFonts w:ascii="Calibri" w:hAnsi="Calibri" w:cs="Cambria"/>
        <w:sz w:val="12"/>
      </w:rPr>
      <w:t>®</w:t>
    </w:r>
    <w:r w:rsidRPr="005D6AEE">
      <w:rPr>
        <w:rFonts w:ascii="Calibri" w:hAnsi="Calibri"/>
        <w:sz w:val="12"/>
      </w:rPr>
      <w:t xml:space="preserve">).   Pig producers should not assume or rely on the applicability of any opinion, advice or information stated in this document to the producer’s own </w:t>
    </w:r>
    <w:proofErr w:type="gramStart"/>
    <w:r w:rsidRPr="005D6AEE">
      <w:rPr>
        <w:rFonts w:ascii="Calibri" w:hAnsi="Calibri"/>
        <w:sz w:val="12"/>
      </w:rPr>
      <w:t>circumstances, and</w:t>
    </w:r>
    <w:proofErr w:type="gramEnd"/>
    <w:r w:rsidRPr="005D6AEE">
      <w:rPr>
        <w:rFonts w:ascii="Calibri" w:hAnsi="Calibri"/>
        <w:sz w:val="12"/>
      </w:rPr>
      <w:t xml:space="preserve"> should obtain their own specific advice.  Australian Pork Limited is not responsible for any loss that may be suffered </w:t>
    </w:r>
    <w:proofErr w:type="gramStart"/>
    <w:r w:rsidRPr="005D6AEE">
      <w:rPr>
        <w:rFonts w:ascii="Calibri" w:hAnsi="Calibri"/>
        <w:sz w:val="12"/>
      </w:rPr>
      <w:t>as a result of</w:t>
    </w:r>
    <w:proofErr w:type="gramEnd"/>
    <w:r w:rsidRPr="005D6AEE">
      <w:rPr>
        <w:rFonts w:ascii="Calibri" w:hAnsi="Calibri"/>
        <w:sz w:val="12"/>
      </w:rPr>
      <w:t xml:space="preserve"> any such reliance by any producer.</w:t>
    </w:r>
    <w:r w:rsidR="00BC44A0">
      <w:rPr>
        <w:rFonts w:ascii="Calibri" w:hAnsi="Calibri"/>
        <w:sz w:val="12"/>
      </w:rPr>
      <w:t xml:space="preserve"> </w:t>
    </w:r>
    <w:r w:rsidR="00BC44A0">
      <w:rPr>
        <w:rFonts w:ascii="Calibri" w:hAnsi="Calibri"/>
        <w:sz w:val="12"/>
      </w:rPr>
      <w:tab/>
    </w:r>
    <w:r w:rsidR="00BC44A0">
      <w:rPr>
        <w:rFonts w:ascii="Calibri" w:hAnsi="Calibri"/>
        <w:sz w:val="12"/>
      </w:rPr>
      <w:tab/>
    </w:r>
    <w:r w:rsidR="00BC44A0">
      <w:rPr>
        <w:rFonts w:ascii="Calibri" w:hAnsi="Calibri"/>
        <w:sz w:val="12"/>
      </w:rPr>
      <w:tab/>
    </w:r>
    <w:r w:rsidR="00BC44A0">
      <w:rPr>
        <w:rFonts w:ascii="Calibri" w:hAnsi="Calibri"/>
        <w:sz w:val="12"/>
      </w:rPr>
      <w:tab/>
    </w:r>
    <w:r w:rsidR="00BC44A0">
      <w:rPr>
        <w:rFonts w:ascii="Calibri" w:hAnsi="Calibri"/>
        <w:sz w:val="12"/>
      </w:rPr>
      <w:tab/>
      <w:t>Th</w:t>
    </w:r>
    <w:r w:rsidR="00BC44A0" w:rsidRPr="005D6AEE">
      <w:rPr>
        <w:rFonts w:ascii="Calibri" w:hAnsi="Calibri"/>
        <w:sz w:val="12"/>
      </w:rPr>
      <w:t>e Australian Pork Industry Quality Assurance Program</w:t>
    </w:r>
    <w:r w:rsidR="00BC44A0">
      <w:rPr>
        <w:rFonts w:ascii="Calibri" w:hAnsi="Calibri"/>
        <w:sz w:val="12"/>
      </w:rPr>
      <w:t xml:space="preserve"> – </w:t>
    </w:r>
    <w:r w:rsidR="00C96D1F" w:rsidRPr="00D6094C">
      <w:rPr>
        <w:rFonts w:ascii="Calibri" w:hAnsi="Calibri"/>
        <w:sz w:val="12"/>
      </w:rPr>
      <w:t xml:space="preserve">SOP23 </w:t>
    </w:r>
    <w:r w:rsidR="00BC44A0" w:rsidRPr="00D6094C">
      <w:rPr>
        <w:rFonts w:ascii="Calibri" w:hAnsi="Calibri"/>
        <w:sz w:val="12"/>
      </w:rPr>
      <w:t xml:space="preserve">(Version </w:t>
    </w:r>
    <w:r w:rsidR="00C834BF">
      <w:rPr>
        <w:rFonts w:ascii="Calibri" w:hAnsi="Calibri"/>
        <w:sz w:val="12"/>
      </w:rPr>
      <w:t>5.1</w:t>
    </w:r>
    <w:r w:rsidR="005E45D1" w:rsidRPr="00D6094C">
      <w:rPr>
        <w:rFonts w:ascii="Calibri" w:hAnsi="Calibri"/>
        <w:sz w:val="12"/>
      </w:rPr>
      <w:t xml:space="preserve"> </w:t>
    </w:r>
    <w:r w:rsidR="00C834BF">
      <w:rPr>
        <w:rFonts w:ascii="Calibri" w:hAnsi="Calibri"/>
        <w:sz w:val="12"/>
      </w:rPr>
      <w:t>8</w:t>
    </w:r>
    <w:r w:rsidR="007867AB" w:rsidRPr="00D6094C">
      <w:rPr>
        <w:rFonts w:ascii="Calibri" w:hAnsi="Calibri"/>
        <w:sz w:val="12"/>
      </w:rPr>
      <w:t>/</w:t>
    </w:r>
    <w:r w:rsidR="00C96D1F" w:rsidRPr="00D6094C">
      <w:rPr>
        <w:rFonts w:ascii="Calibri" w:hAnsi="Calibri"/>
        <w:sz w:val="12"/>
      </w:rPr>
      <w:t>2022</w:t>
    </w:r>
    <w:r w:rsidR="00BC44A0" w:rsidRPr="00D6094C">
      <w:rPr>
        <w:rFonts w:ascii="Calibri" w:hAnsi="Calibri"/>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CE96C" w14:textId="77777777" w:rsidR="00DA50C6" w:rsidRDefault="00DA50C6" w:rsidP="006151AB">
      <w:pPr>
        <w:spacing w:after="0"/>
      </w:pPr>
      <w:r>
        <w:separator/>
      </w:r>
    </w:p>
  </w:footnote>
  <w:footnote w:type="continuationSeparator" w:id="0">
    <w:p w14:paraId="6F55B553" w14:textId="77777777" w:rsidR="00DA50C6" w:rsidRDefault="00DA50C6" w:rsidP="006151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BDF8" w14:textId="68CE90E5" w:rsidR="006151AB" w:rsidRDefault="006151AB" w:rsidP="006151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183">
      <w:rPr>
        <w:rStyle w:val="PageNumber"/>
        <w:noProof/>
      </w:rPr>
      <w:t>1</w:t>
    </w:r>
    <w:r>
      <w:rPr>
        <w:rStyle w:val="PageNumber"/>
      </w:rPr>
      <w:fldChar w:fldCharType="end"/>
    </w:r>
  </w:p>
  <w:p w14:paraId="08D0CDD4" w14:textId="77777777" w:rsidR="006151AB" w:rsidRDefault="006151AB" w:rsidP="006151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5D88" w14:textId="155BA479" w:rsidR="006151AB" w:rsidRDefault="00C834BF" w:rsidP="006151AB">
    <w:pPr>
      <w:pStyle w:val="Header"/>
      <w:framePr w:wrap="around" w:vAnchor="text" w:hAnchor="margin" w:xAlign="right" w:y="1"/>
      <w:rPr>
        <w:rStyle w:val="PageNumber"/>
      </w:rPr>
    </w:pPr>
    <w:r>
      <w:rPr>
        <w:rStyle w:val="PageNumber"/>
      </w:rPr>
      <w:pict w14:anchorId="71E5BB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6E35DD48" w14:textId="77777777" w:rsidR="006151AB" w:rsidRDefault="006151AB" w:rsidP="006151AB">
    <w:pPr>
      <w:pStyle w:val="Header"/>
      <w:tabs>
        <w:tab w:val="left" w:pos="4536"/>
      </w:tabs>
      <w:ind w:left="-142" w:right="360"/>
    </w:pPr>
  </w:p>
  <w:tbl>
    <w:tblPr>
      <w:tblW w:w="9923" w:type="dxa"/>
      <w:tblInd w:w="-289" w:type="dxa"/>
      <w:tblLayout w:type="fixed"/>
      <w:tblCellMar>
        <w:left w:w="0" w:type="dxa"/>
        <w:right w:w="0" w:type="dxa"/>
      </w:tblCellMar>
      <w:tblLook w:val="0000" w:firstRow="0" w:lastRow="0" w:firstColumn="0" w:lastColumn="0" w:noHBand="0" w:noVBand="0"/>
    </w:tblPr>
    <w:tblGrid>
      <w:gridCol w:w="9923"/>
    </w:tblGrid>
    <w:tr w:rsidR="006151AB" w:rsidRPr="00415692" w14:paraId="265A4E58" w14:textId="77777777" w:rsidTr="00747BB2">
      <w:trPr>
        <w:cantSplit/>
        <w:tblHeader/>
      </w:trPr>
      <w:tc>
        <w:tcPr>
          <w:tcW w:w="9923" w:type="dxa"/>
          <w:tcBorders>
            <w:top w:val="single" w:sz="4" w:space="0" w:color="auto"/>
            <w:left w:val="single" w:sz="4" w:space="0" w:color="auto"/>
            <w:bottom w:val="single" w:sz="4" w:space="0" w:color="auto"/>
            <w:right w:val="single" w:sz="4" w:space="0" w:color="auto"/>
          </w:tcBorders>
          <w:shd w:val="clear" w:color="FFFFFF" w:fill="D9D9D9"/>
          <w:tcMar>
            <w:top w:w="80" w:type="dxa"/>
            <w:left w:w="80" w:type="dxa"/>
            <w:bottom w:w="80" w:type="dxa"/>
            <w:right w:w="80" w:type="dxa"/>
          </w:tcMar>
        </w:tcPr>
        <w:p w14:paraId="2376F9CF" w14:textId="3C4AD609" w:rsidR="006151AB" w:rsidRPr="00415692" w:rsidRDefault="006151AB" w:rsidP="00BC44A0">
          <w:pPr>
            <w:pStyle w:val="body"/>
            <w:tabs>
              <w:tab w:val="left" w:pos="7613"/>
            </w:tabs>
            <w:ind w:left="203" w:hanging="141"/>
          </w:pPr>
          <w:r w:rsidRPr="00415692">
            <w:rPr>
              <w:rFonts w:ascii="Calibri-Bold" w:hAnsi="Calibri-Bold" w:cs="Calibri-Bold"/>
              <w:b/>
              <w:bCs/>
              <w:sz w:val="28"/>
              <w:szCs w:val="28"/>
            </w:rPr>
            <w:t>SOP</w:t>
          </w:r>
          <w:r w:rsidR="004F5B9D">
            <w:rPr>
              <w:rFonts w:ascii="Calibri-Bold" w:hAnsi="Calibri-Bold" w:cs="Calibri-Bold"/>
              <w:b/>
              <w:bCs/>
              <w:sz w:val="28"/>
              <w:szCs w:val="28"/>
            </w:rPr>
            <w:t xml:space="preserve"> </w:t>
          </w:r>
          <w:r w:rsidR="00C760A9" w:rsidRPr="00C760A9">
            <w:rPr>
              <w:rFonts w:ascii="Calibri-Bold" w:hAnsi="Calibri-Bold" w:cs="Calibri-Bold"/>
              <w:b/>
              <w:bCs/>
              <w:sz w:val="28"/>
              <w:szCs w:val="28"/>
            </w:rPr>
            <w:t>23</w:t>
          </w:r>
          <w:r w:rsidRPr="00415692">
            <w:rPr>
              <w:rFonts w:ascii="Calibri-Bold" w:hAnsi="Calibri-Bold" w:cs="Calibri-Bold"/>
              <w:b/>
              <w:bCs/>
              <w:sz w:val="28"/>
              <w:szCs w:val="28"/>
            </w:rPr>
            <w:t xml:space="preserve"> — </w:t>
          </w:r>
          <w:r w:rsidR="000E3910">
            <w:rPr>
              <w:rFonts w:ascii="Calibri-Bold" w:hAnsi="Calibri-Bold" w:cs="Calibri-Bold"/>
              <w:b/>
              <w:bCs/>
              <w:sz w:val="28"/>
              <w:szCs w:val="28"/>
            </w:rPr>
            <w:t>MOSQUITO</w:t>
          </w:r>
          <w:r w:rsidRPr="00415692">
            <w:rPr>
              <w:rFonts w:ascii="Calibri-Bold" w:hAnsi="Calibri-Bold" w:cs="Calibri-Bold"/>
              <w:b/>
              <w:bCs/>
              <w:sz w:val="28"/>
              <w:szCs w:val="28"/>
            </w:rPr>
            <w:t xml:space="preserve"> CONTROL PROCEDURE</w:t>
          </w:r>
          <w:r w:rsidRPr="00415692">
            <w:rPr>
              <w:rFonts w:ascii="Calibri-Bold" w:hAnsi="Calibri-Bold" w:cs="Calibri-Bold"/>
              <w:b/>
              <w:bCs/>
              <w:sz w:val="28"/>
              <w:szCs w:val="28"/>
            </w:rPr>
            <w:tab/>
            <w:t xml:space="preserve">    </w:t>
          </w:r>
          <w:r w:rsidRPr="00415692">
            <w:rPr>
              <w:rFonts w:ascii="Calibri-Bold" w:hAnsi="Calibri-Bold" w:cs="Calibri-Bold"/>
              <w:b/>
              <w:bCs/>
              <w:i/>
            </w:rPr>
            <w:t xml:space="preserve">PAGE: </w:t>
          </w:r>
          <w:r w:rsidRPr="00415692">
            <w:rPr>
              <w:rFonts w:ascii="Calibri-Bold" w:hAnsi="Calibri-Bold" w:cs="Calibri-Bold"/>
              <w:b/>
              <w:bCs/>
              <w:i/>
            </w:rPr>
            <w:fldChar w:fldCharType="begin"/>
          </w:r>
          <w:r w:rsidRPr="00415692">
            <w:rPr>
              <w:rFonts w:ascii="Calibri-Bold" w:hAnsi="Calibri-Bold" w:cs="Calibri-Bold"/>
              <w:b/>
              <w:bCs/>
              <w:i/>
            </w:rPr>
            <w:instrText xml:space="preserve"> PAGE </w:instrText>
          </w:r>
          <w:r w:rsidRPr="00415692">
            <w:rPr>
              <w:rFonts w:ascii="Calibri-Bold" w:hAnsi="Calibri-Bold" w:cs="Calibri-Bold"/>
              <w:b/>
              <w:bCs/>
              <w:i/>
            </w:rPr>
            <w:fldChar w:fldCharType="separate"/>
          </w:r>
          <w:r w:rsidR="001C181E">
            <w:rPr>
              <w:rFonts w:ascii="Calibri-Bold" w:hAnsi="Calibri-Bold" w:cs="Calibri-Bold"/>
              <w:b/>
              <w:bCs/>
              <w:i/>
              <w:noProof/>
            </w:rPr>
            <w:t>1</w:t>
          </w:r>
          <w:r w:rsidRPr="00415692">
            <w:rPr>
              <w:rFonts w:ascii="Calibri-Bold" w:hAnsi="Calibri-Bold" w:cs="Calibri-Bold"/>
              <w:b/>
              <w:bCs/>
              <w:i/>
            </w:rPr>
            <w:fldChar w:fldCharType="end"/>
          </w:r>
          <w:r w:rsidRPr="00415692">
            <w:rPr>
              <w:rFonts w:ascii="Calibri-Bold" w:hAnsi="Calibri-Bold" w:cs="Calibri-Bold"/>
              <w:b/>
              <w:bCs/>
              <w:i/>
            </w:rPr>
            <w:t xml:space="preserve"> of </w:t>
          </w:r>
          <w:r w:rsidRPr="00415692">
            <w:rPr>
              <w:rFonts w:ascii="Calibri-Bold" w:hAnsi="Calibri-Bold" w:cs="Calibri-Bold"/>
              <w:b/>
              <w:bCs/>
              <w:i/>
            </w:rPr>
            <w:fldChar w:fldCharType="begin"/>
          </w:r>
          <w:r w:rsidRPr="00415692">
            <w:rPr>
              <w:rFonts w:ascii="Calibri-Bold" w:hAnsi="Calibri-Bold" w:cs="Calibri-Bold"/>
              <w:b/>
              <w:bCs/>
              <w:i/>
            </w:rPr>
            <w:instrText xml:space="preserve"> NUMPAGES  </w:instrText>
          </w:r>
          <w:r w:rsidRPr="00415692">
            <w:rPr>
              <w:rFonts w:ascii="Calibri-Bold" w:hAnsi="Calibri-Bold" w:cs="Calibri-Bold"/>
              <w:b/>
              <w:bCs/>
              <w:i/>
            </w:rPr>
            <w:fldChar w:fldCharType="separate"/>
          </w:r>
          <w:r w:rsidR="001C181E">
            <w:rPr>
              <w:rFonts w:ascii="Calibri-Bold" w:hAnsi="Calibri-Bold" w:cs="Calibri-Bold"/>
              <w:b/>
              <w:bCs/>
              <w:i/>
              <w:noProof/>
            </w:rPr>
            <w:t>1</w:t>
          </w:r>
          <w:r w:rsidRPr="00415692">
            <w:rPr>
              <w:rFonts w:ascii="Calibri-Bold" w:hAnsi="Calibri-Bold" w:cs="Calibri-Bold"/>
              <w:b/>
              <w:bCs/>
              <w:i/>
            </w:rPr>
            <w:fldChar w:fldCharType="end"/>
          </w:r>
        </w:p>
      </w:tc>
    </w:tr>
  </w:tbl>
  <w:p w14:paraId="717C5F21" w14:textId="77777777" w:rsidR="006151AB" w:rsidRDefault="006151AB" w:rsidP="006151AB">
    <w:pPr>
      <w:pStyle w:val="Header"/>
      <w:tabs>
        <w:tab w:val="left"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7FAE"/>
    <w:multiLevelType w:val="hybridMultilevel"/>
    <w:tmpl w:val="3322E5BA"/>
    <w:lvl w:ilvl="0" w:tplc="CDEA15B0">
      <w:start w:val="1"/>
      <w:numFmt w:val="decimal"/>
      <w:pStyle w:val="APIQTableNumbered1"/>
      <w:lvlText w:val="%1."/>
      <w:lvlJc w:val="right"/>
      <w:pPr>
        <w:ind w:left="830" w:hanging="360"/>
      </w:pPr>
      <w:rPr>
        <w:rFonts w:hint="default"/>
      </w:rPr>
    </w:lvl>
    <w:lvl w:ilvl="1" w:tplc="0C090003" w:tentative="1">
      <w:start w:val="1"/>
      <w:numFmt w:val="lowerLetter"/>
      <w:lvlText w:val="%2."/>
      <w:lvlJc w:val="left"/>
      <w:pPr>
        <w:ind w:left="1550" w:hanging="360"/>
      </w:pPr>
    </w:lvl>
    <w:lvl w:ilvl="2" w:tplc="0C090005" w:tentative="1">
      <w:start w:val="1"/>
      <w:numFmt w:val="lowerRoman"/>
      <w:lvlText w:val="%3."/>
      <w:lvlJc w:val="right"/>
      <w:pPr>
        <w:ind w:left="2270" w:hanging="180"/>
      </w:pPr>
    </w:lvl>
    <w:lvl w:ilvl="3" w:tplc="0C090001" w:tentative="1">
      <w:start w:val="1"/>
      <w:numFmt w:val="decimal"/>
      <w:lvlText w:val="%4."/>
      <w:lvlJc w:val="left"/>
      <w:pPr>
        <w:ind w:left="2990" w:hanging="360"/>
      </w:pPr>
    </w:lvl>
    <w:lvl w:ilvl="4" w:tplc="0C090003" w:tentative="1">
      <w:start w:val="1"/>
      <w:numFmt w:val="lowerLetter"/>
      <w:lvlText w:val="%5."/>
      <w:lvlJc w:val="left"/>
      <w:pPr>
        <w:ind w:left="3710" w:hanging="360"/>
      </w:pPr>
    </w:lvl>
    <w:lvl w:ilvl="5" w:tplc="0C090005" w:tentative="1">
      <w:start w:val="1"/>
      <w:numFmt w:val="lowerRoman"/>
      <w:lvlText w:val="%6."/>
      <w:lvlJc w:val="right"/>
      <w:pPr>
        <w:ind w:left="4430" w:hanging="180"/>
      </w:pPr>
    </w:lvl>
    <w:lvl w:ilvl="6" w:tplc="0C090001" w:tentative="1">
      <w:start w:val="1"/>
      <w:numFmt w:val="decimal"/>
      <w:lvlText w:val="%7."/>
      <w:lvlJc w:val="left"/>
      <w:pPr>
        <w:ind w:left="5150" w:hanging="360"/>
      </w:pPr>
    </w:lvl>
    <w:lvl w:ilvl="7" w:tplc="0C090003" w:tentative="1">
      <w:start w:val="1"/>
      <w:numFmt w:val="lowerLetter"/>
      <w:lvlText w:val="%8."/>
      <w:lvlJc w:val="left"/>
      <w:pPr>
        <w:ind w:left="5870" w:hanging="360"/>
      </w:pPr>
    </w:lvl>
    <w:lvl w:ilvl="8" w:tplc="0C090005" w:tentative="1">
      <w:start w:val="1"/>
      <w:numFmt w:val="lowerRoman"/>
      <w:lvlText w:val="%9."/>
      <w:lvlJc w:val="right"/>
      <w:pPr>
        <w:ind w:left="6590" w:hanging="180"/>
      </w:pPr>
    </w:lvl>
  </w:abstractNum>
  <w:abstractNum w:abstractNumId="1" w15:restartNumberingAfterBreak="0">
    <w:nsid w:val="51416B19"/>
    <w:multiLevelType w:val="hybridMultilevel"/>
    <w:tmpl w:val="B792E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154F68"/>
    <w:multiLevelType w:val="hybridMultilevel"/>
    <w:tmpl w:val="F956EF56"/>
    <w:lvl w:ilvl="0" w:tplc="4CE20C0C">
      <w:start w:val="1"/>
      <w:numFmt w:val="bullet"/>
      <w:pStyle w:val="BodyText-DotPoints"/>
      <w:lvlText w:val=""/>
      <w:lvlJc w:val="left"/>
      <w:pPr>
        <w:tabs>
          <w:tab w:val="num" w:pos="567"/>
        </w:tabs>
        <w:ind w:left="567" w:hanging="283"/>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979B0"/>
    <w:multiLevelType w:val="hybridMultilevel"/>
    <w:tmpl w:val="37E24588"/>
    <w:lvl w:ilvl="0" w:tplc="0C09000F">
      <w:start w:val="1"/>
      <w:numFmt w:val="decimal"/>
      <w:lvlText w:val="%1."/>
      <w:lvlJc w:val="left"/>
      <w:pPr>
        <w:ind w:left="1190" w:hanging="360"/>
      </w:pPr>
    </w:lvl>
    <w:lvl w:ilvl="1" w:tplc="0C090019" w:tentative="1">
      <w:start w:val="1"/>
      <w:numFmt w:val="lowerLetter"/>
      <w:lvlText w:val="%2."/>
      <w:lvlJc w:val="left"/>
      <w:pPr>
        <w:ind w:left="1910" w:hanging="360"/>
      </w:pPr>
    </w:lvl>
    <w:lvl w:ilvl="2" w:tplc="0C09001B" w:tentative="1">
      <w:start w:val="1"/>
      <w:numFmt w:val="lowerRoman"/>
      <w:lvlText w:val="%3."/>
      <w:lvlJc w:val="right"/>
      <w:pPr>
        <w:ind w:left="2630" w:hanging="180"/>
      </w:pPr>
    </w:lvl>
    <w:lvl w:ilvl="3" w:tplc="0C09000F" w:tentative="1">
      <w:start w:val="1"/>
      <w:numFmt w:val="decimal"/>
      <w:lvlText w:val="%4."/>
      <w:lvlJc w:val="left"/>
      <w:pPr>
        <w:ind w:left="3350" w:hanging="360"/>
      </w:pPr>
    </w:lvl>
    <w:lvl w:ilvl="4" w:tplc="0C090019" w:tentative="1">
      <w:start w:val="1"/>
      <w:numFmt w:val="lowerLetter"/>
      <w:lvlText w:val="%5."/>
      <w:lvlJc w:val="left"/>
      <w:pPr>
        <w:ind w:left="4070" w:hanging="360"/>
      </w:pPr>
    </w:lvl>
    <w:lvl w:ilvl="5" w:tplc="0C09001B" w:tentative="1">
      <w:start w:val="1"/>
      <w:numFmt w:val="lowerRoman"/>
      <w:lvlText w:val="%6."/>
      <w:lvlJc w:val="right"/>
      <w:pPr>
        <w:ind w:left="4790" w:hanging="180"/>
      </w:pPr>
    </w:lvl>
    <w:lvl w:ilvl="6" w:tplc="0C09000F" w:tentative="1">
      <w:start w:val="1"/>
      <w:numFmt w:val="decimal"/>
      <w:lvlText w:val="%7."/>
      <w:lvlJc w:val="left"/>
      <w:pPr>
        <w:ind w:left="5510" w:hanging="360"/>
      </w:pPr>
    </w:lvl>
    <w:lvl w:ilvl="7" w:tplc="0C090019" w:tentative="1">
      <w:start w:val="1"/>
      <w:numFmt w:val="lowerLetter"/>
      <w:lvlText w:val="%8."/>
      <w:lvlJc w:val="left"/>
      <w:pPr>
        <w:ind w:left="6230" w:hanging="360"/>
      </w:pPr>
    </w:lvl>
    <w:lvl w:ilvl="8" w:tplc="0C09001B" w:tentative="1">
      <w:start w:val="1"/>
      <w:numFmt w:val="lowerRoman"/>
      <w:lvlText w:val="%9."/>
      <w:lvlJc w:val="right"/>
      <w:pPr>
        <w:ind w:left="6950" w:hanging="180"/>
      </w:pPr>
    </w:lvl>
  </w:abstractNum>
  <w:num w:numId="1" w16cid:durableId="2065981812">
    <w:abstractNumId w:val="2"/>
  </w:num>
  <w:num w:numId="2" w16cid:durableId="1841507570">
    <w:abstractNumId w:val="0"/>
  </w:num>
  <w:num w:numId="3" w16cid:durableId="1938445248">
    <w:abstractNumId w:val="3"/>
  </w:num>
  <w:num w:numId="4" w16cid:durableId="990871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D74"/>
    <w:rsid w:val="00035A95"/>
    <w:rsid w:val="0004317C"/>
    <w:rsid w:val="00045B2A"/>
    <w:rsid w:val="00085032"/>
    <w:rsid w:val="00097010"/>
    <w:rsid w:val="000A5EA5"/>
    <w:rsid w:val="000E3910"/>
    <w:rsid w:val="00125152"/>
    <w:rsid w:val="00140D02"/>
    <w:rsid w:val="001C181E"/>
    <w:rsid w:val="00206EE6"/>
    <w:rsid w:val="00234EA1"/>
    <w:rsid w:val="00235B29"/>
    <w:rsid w:val="0024775F"/>
    <w:rsid w:val="0027464F"/>
    <w:rsid w:val="00292B2C"/>
    <w:rsid w:val="003A5D74"/>
    <w:rsid w:val="003B2A11"/>
    <w:rsid w:val="00402C65"/>
    <w:rsid w:val="0042544D"/>
    <w:rsid w:val="00456E5F"/>
    <w:rsid w:val="00476AEB"/>
    <w:rsid w:val="004C6654"/>
    <w:rsid w:val="004D1673"/>
    <w:rsid w:val="004F0DB6"/>
    <w:rsid w:val="004F5B9D"/>
    <w:rsid w:val="00553458"/>
    <w:rsid w:val="005705ED"/>
    <w:rsid w:val="00587C1A"/>
    <w:rsid w:val="00595BC6"/>
    <w:rsid w:val="005B0183"/>
    <w:rsid w:val="005B2A66"/>
    <w:rsid w:val="005E45D1"/>
    <w:rsid w:val="006151AB"/>
    <w:rsid w:val="00661D06"/>
    <w:rsid w:val="006B1B8D"/>
    <w:rsid w:val="006B1D3D"/>
    <w:rsid w:val="00747BB2"/>
    <w:rsid w:val="00751B5F"/>
    <w:rsid w:val="007867AB"/>
    <w:rsid w:val="00824B09"/>
    <w:rsid w:val="008A2B40"/>
    <w:rsid w:val="008C0A86"/>
    <w:rsid w:val="008C6D9C"/>
    <w:rsid w:val="008F1552"/>
    <w:rsid w:val="00906034"/>
    <w:rsid w:val="0092615F"/>
    <w:rsid w:val="00933B8B"/>
    <w:rsid w:val="009A319B"/>
    <w:rsid w:val="00A106AA"/>
    <w:rsid w:val="00A37020"/>
    <w:rsid w:val="00AA20FB"/>
    <w:rsid w:val="00AE5216"/>
    <w:rsid w:val="00B37EF1"/>
    <w:rsid w:val="00B863B3"/>
    <w:rsid w:val="00B97429"/>
    <w:rsid w:val="00BA2A25"/>
    <w:rsid w:val="00BC44A0"/>
    <w:rsid w:val="00C223BC"/>
    <w:rsid w:val="00C67248"/>
    <w:rsid w:val="00C760A9"/>
    <w:rsid w:val="00C834BF"/>
    <w:rsid w:val="00C95D13"/>
    <w:rsid w:val="00C96D1F"/>
    <w:rsid w:val="00D42A1A"/>
    <w:rsid w:val="00D53BC3"/>
    <w:rsid w:val="00D567A4"/>
    <w:rsid w:val="00D56AF0"/>
    <w:rsid w:val="00D6094C"/>
    <w:rsid w:val="00D92A25"/>
    <w:rsid w:val="00DA50C6"/>
    <w:rsid w:val="00DC5458"/>
    <w:rsid w:val="00DE1839"/>
    <w:rsid w:val="00E312B4"/>
    <w:rsid w:val="00E66892"/>
    <w:rsid w:val="00E82A9A"/>
    <w:rsid w:val="00ED36C4"/>
    <w:rsid w:val="00EE0C41"/>
    <w:rsid w:val="00EE7610"/>
    <w:rsid w:val="00EF60D6"/>
    <w:rsid w:val="00F23617"/>
    <w:rsid w:val="00F30EB8"/>
    <w:rsid w:val="00F92692"/>
    <w:rsid w:val="33981163"/>
    <w:rsid w:val="7770CFA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C41A971"/>
  <w15:chartTrackingRefBased/>
  <w15:docId w15:val="{C04EB3E9-D244-4B0B-BBAF-F037034A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515"/>
    <w:pPr>
      <w:spacing w:after="200"/>
    </w:pPr>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D74"/>
    <w:pPr>
      <w:tabs>
        <w:tab w:val="center" w:pos="4320"/>
        <w:tab w:val="right" w:pos="8640"/>
      </w:tabs>
      <w:spacing w:after="0"/>
    </w:pPr>
    <w:rPr>
      <w:lang w:val="x-none" w:eastAsia="x-none"/>
    </w:rPr>
  </w:style>
  <w:style w:type="character" w:customStyle="1" w:styleId="HeaderChar">
    <w:name w:val="Header Char"/>
    <w:link w:val="Header"/>
    <w:uiPriority w:val="99"/>
    <w:rsid w:val="003A5D74"/>
    <w:rPr>
      <w:sz w:val="24"/>
      <w:szCs w:val="24"/>
    </w:rPr>
  </w:style>
  <w:style w:type="paragraph" w:styleId="Footer">
    <w:name w:val="footer"/>
    <w:basedOn w:val="Normal"/>
    <w:link w:val="FooterChar"/>
    <w:uiPriority w:val="99"/>
    <w:unhideWhenUsed/>
    <w:rsid w:val="003A5D74"/>
    <w:pPr>
      <w:tabs>
        <w:tab w:val="center" w:pos="4320"/>
        <w:tab w:val="right" w:pos="8640"/>
      </w:tabs>
      <w:spacing w:after="0"/>
    </w:pPr>
    <w:rPr>
      <w:lang w:val="x-none" w:eastAsia="x-none"/>
    </w:rPr>
  </w:style>
  <w:style w:type="character" w:customStyle="1" w:styleId="FooterChar">
    <w:name w:val="Footer Char"/>
    <w:link w:val="Footer"/>
    <w:uiPriority w:val="99"/>
    <w:rsid w:val="003A5D74"/>
    <w:rPr>
      <w:sz w:val="24"/>
      <w:szCs w:val="24"/>
    </w:rPr>
  </w:style>
  <w:style w:type="paragraph" w:customStyle="1" w:styleId="NoParagraphStyle">
    <w:name w:val="[No Paragraph Style]"/>
    <w:rsid w:val="003A5D74"/>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body">
    <w:name w:val="body"/>
    <w:basedOn w:val="NoParagraphStyle"/>
    <w:uiPriority w:val="99"/>
    <w:rsid w:val="003A5D74"/>
    <w:pPr>
      <w:suppressAutoHyphens/>
      <w:spacing w:before="170" w:line="240" w:lineRule="atLeast"/>
    </w:pPr>
    <w:rPr>
      <w:rFonts w:ascii="Calibri" w:hAnsi="Calibri" w:cs="Calibri"/>
      <w:sz w:val="20"/>
      <w:szCs w:val="20"/>
    </w:rPr>
  </w:style>
  <w:style w:type="paragraph" w:customStyle="1" w:styleId="BodyText-DotPoints">
    <w:name w:val="Body Text - Dot Points"/>
    <w:basedOn w:val="Normal"/>
    <w:rsid w:val="00476E79"/>
    <w:pPr>
      <w:numPr>
        <w:numId w:val="1"/>
      </w:numPr>
    </w:pPr>
  </w:style>
  <w:style w:type="table" w:styleId="TableGrid">
    <w:name w:val="Table Grid"/>
    <w:basedOn w:val="TableNormal"/>
    <w:rsid w:val="00685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D51E30"/>
  </w:style>
  <w:style w:type="paragraph" w:customStyle="1" w:styleId="APIQTablelist2">
    <w:name w:val="APIQ Table list 2"/>
    <w:basedOn w:val="Normal"/>
    <w:qFormat/>
    <w:rsid w:val="0092615F"/>
    <w:pPr>
      <w:spacing w:before="60" w:after="60"/>
      <w:ind w:left="57"/>
    </w:pPr>
    <w:rPr>
      <w:rFonts w:ascii="Calibri" w:eastAsia="Calibri" w:hAnsi="Calibri"/>
      <w:sz w:val="22"/>
      <w:szCs w:val="22"/>
      <w:lang w:val="en-AU"/>
    </w:rPr>
  </w:style>
  <w:style w:type="paragraph" w:customStyle="1" w:styleId="APIQTableNumbered1">
    <w:name w:val="APIQ Table Numbered 1"/>
    <w:basedOn w:val="Normal"/>
    <w:qFormat/>
    <w:rsid w:val="0092615F"/>
    <w:pPr>
      <w:numPr>
        <w:numId w:val="2"/>
      </w:numPr>
      <w:spacing w:before="240" w:after="240" w:line="276" w:lineRule="auto"/>
    </w:pPr>
    <w:rPr>
      <w:rFonts w:ascii="Calibri" w:eastAsia="Calibri" w:hAnsi="Calibri"/>
      <w:sz w:val="22"/>
      <w:szCs w:val="22"/>
      <w:lang w:val="en-AU"/>
    </w:rPr>
  </w:style>
  <w:style w:type="paragraph" w:styleId="BalloonText">
    <w:name w:val="Balloon Text"/>
    <w:basedOn w:val="Normal"/>
    <w:link w:val="BalloonTextChar"/>
    <w:rsid w:val="007867AB"/>
    <w:pPr>
      <w:spacing w:after="0"/>
    </w:pPr>
    <w:rPr>
      <w:rFonts w:ascii="Segoe UI" w:hAnsi="Segoe UI" w:cs="Segoe UI"/>
      <w:sz w:val="18"/>
      <w:szCs w:val="18"/>
    </w:rPr>
  </w:style>
  <w:style w:type="character" w:customStyle="1" w:styleId="BalloonTextChar">
    <w:name w:val="Balloon Text Char"/>
    <w:link w:val="BalloonText"/>
    <w:rsid w:val="007867AB"/>
    <w:rPr>
      <w:rFonts w:ascii="Segoe UI" w:hAnsi="Segoe UI" w:cs="Segoe UI"/>
      <w:sz w:val="18"/>
      <w:szCs w:val="18"/>
      <w:lang w:val="en-US" w:eastAsia="en-US"/>
    </w:rPr>
  </w:style>
  <w:style w:type="character" w:styleId="Hyperlink">
    <w:name w:val="Hyperlink"/>
    <w:rsid w:val="008C6D9C"/>
    <w:rPr>
      <w:color w:val="0563C1"/>
      <w:u w:val="single"/>
    </w:rPr>
  </w:style>
  <w:style w:type="character" w:styleId="UnresolvedMention">
    <w:name w:val="Unresolved Mention"/>
    <w:uiPriority w:val="99"/>
    <w:semiHidden/>
    <w:unhideWhenUsed/>
    <w:rsid w:val="008C6D9C"/>
    <w:rPr>
      <w:color w:val="605E5C"/>
      <w:shd w:val="clear" w:color="auto" w:fill="E1DFDD"/>
    </w:rPr>
  </w:style>
  <w:style w:type="paragraph" w:styleId="Revision">
    <w:name w:val="Revision"/>
    <w:hidden/>
    <w:rsid w:val="006B1D3D"/>
    <w:rPr>
      <w:sz w:val="24"/>
      <w:szCs w:val="24"/>
      <w:lang w:val="en-US" w:eastAsia="en-US"/>
    </w:rPr>
  </w:style>
  <w:style w:type="character" w:styleId="CommentReference">
    <w:name w:val="annotation reference"/>
    <w:basedOn w:val="DefaultParagraphFont"/>
    <w:rsid w:val="00E312B4"/>
    <w:rPr>
      <w:sz w:val="16"/>
      <w:szCs w:val="16"/>
    </w:rPr>
  </w:style>
  <w:style w:type="paragraph" w:styleId="CommentText">
    <w:name w:val="annotation text"/>
    <w:basedOn w:val="Normal"/>
    <w:link w:val="CommentTextChar"/>
    <w:rsid w:val="00E312B4"/>
    <w:rPr>
      <w:sz w:val="20"/>
      <w:szCs w:val="20"/>
    </w:rPr>
  </w:style>
  <w:style w:type="character" w:customStyle="1" w:styleId="CommentTextChar">
    <w:name w:val="Comment Text Char"/>
    <w:basedOn w:val="DefaultParagraphFont"/>
    <w:link w:val="CommentText"/>
    <w:rsid w:val="00E312B4"/>
    <w:rPr>
      <w:lang w:val="en-US" w:eastAsia="en-US"/>
    </w:rPr>
  </w:style>
  <w:style w:type="paragraph" w:styleId="CommentSubject">
    <w:name w:val="annotation subject"/>
    <w:basedOn w:val="CommentText"/>
    <w:next w:val="CommentText"/>
    <w:link w:val="CommentSubjectChar"/>
    <w:rsid w:val="00E312B4"/>
    <w:rPr>
      <w:b/>
      <w:bCs/>
    </w:rPr>
  </w:style>
  <w:style w:type="character" w:customStyle="1" w:styleId="CommentSubjectChar">
    <w:name w:val="Comment Subject Char"/>
    <w:basedOn w:val="CommentTextChar"/>
    <w:link w:val="CommentSubject"/>
    <w:rsid w:val="00E312B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au/resources/publications/japanese-encephalitis-virus-protecting-australians-from-je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ustralianpork.com.au/sites/default/files/2022-03/Japanese_Encephalitis_Material_Publication_MosquitoManagementForPiggeries_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tralianpork.com.au/sites/default/files/2022-03/Japanese_Encephalitis_Material_Publication_MosquitoManagementForPiggeries_final.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ustralianpork.com.au/sites/default/files/2022-03/Japanese_Encephalitis_Material_Publication_MosquitoManagementForPiggeries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BE4169F564C46814BB9FAB023518F" ma:contentTypeVersion="25" ma:contentTypeDescription="Create a new document." ma:contentTypeScope="" ma:versionID="50ecf88f41e2664d1a2bc8e329f21daf">
  <xsd:schema xmlns:xsd="http://www.w3.org/2001/XMLSchema" xmlns:xs="http://www.w3.org/2001/XMLSchema" xmlns:p="http://schemas.microsoft.com/office/2006/metadata/properties" xmlns:ns1="http://schemas.microsoft.com/sharepoint/v3" xmlns:ns2="9309d9e4-c2f9-4a9d-8201-9d5063684c05" xmlns:ns3="2afdbb08-ee7a-4098-a500-981b081c7a8a" targetNamespace="http://schemas.microsoft.com/office/2006/metadata/properties" ma:root="true" ma:fieldsID="6d95ca98d1ee11e3dc4c21102c3a3d6a" ns1:_="" ns2:_="" ns3:_="">
    <xsd:import namespace="http://schemas.microsoft.com/sharepoint/v3"/>
    <xsd:import namespace="9309d9e4-c2f9-4a9d-8201-9d5063684c05"/>
    <xsd:import namespace="2afdbb08-ee7a-4098-a500-981b081c7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v4k6"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AverageRating" minOccurs="0"/>
                <xsd:element ref="ns1:RatingCount" minOccurs="0"/>
                <xsd:element ref="ns1:RatedBy" minOccurs="0"/>
                <xsd:element ref="ns1:Ratings" minOccurs="0"/>
                <xsd:element ref="ns1:LikesCount" minOccurs="0"/>
                <xsd:element ref="ns1:LikedBy" minOccurs="0"/>
                <xsd:element ref="ns2:n3ki" minOccurs="0"/>
                <xsd:element ref="ns2:vwh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1" nillable="true" ma:displayName="Rating (0-5)" ma:decimals="2" ma:description="Average value of all the ratings that have been submitted" ma:internalName="AverageRating" ma:readOnly="true">
      <xsd:simpleType>
        <xsd:restriction base="dms:Number"/>
      </xsd:simpleType>
    </xsd:element>
    <xsd:element name="RatingCount" ma:index="22" nillable="true" ma:displayName="Number of Ratings" ma:decimals="0" ma:description="Number of ratings submitted" ma:internalName="RatingCount" ma:readOnly="true">
      <xsd:simpleType>
        <xsd:restriction base="dms:Number"/>
      </xsd:simpleType>
    </xsd:element>
    <xsd:element name="RatedBy" ma:index="2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User ratings" ma:description="User ratings for the item" ma:hidden="true" ma:internalName="Ratings">
      <xsd:simpleType>
        <xsd:restriction base="dms:Note"/>
      </xsd:simpleType>
    </xsd:element>
    <xsd:element name="LikesCount" ma:index="25" nillable="true" ma:displayName="Number of Likes" ma:internalName="LikesCount">
      <xsd:simpleType>
        <xsd:restriction base="dms:Unknown"/>
      </xsd:simpleType>
    </xsd:element>
    <xsd:element name="LikedBy" ma:index="2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9d9e4-c2f9-4a9d-8201-9d506368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v4k6" ma:index="12" nillable="true" ma:displayName="Theme" ma:internalName="v4k6">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3ki" ma:index="27" nillable="true" ma:displayName="Text" ma:internalName="n3ki">
      <xsd:simpleType>
        <xsd:restriction base="dms:Text"/>
      </xsd:simpleType>
    </xsd:element>
    <xsd:element name="vwhe" ma:index="28" nillable="true" ma:displayName="Date and time" ma:internalName="vwhe">
      <xsd:simpleType>
        <xsd:restriction base="dms:DateTime"/>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267de4a2-c2c1-4224-8f27-14ece408eb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dbb08-ee7a-4098-a500-981b081c7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e816d1b4-7220-4f88-b875-47a4294bd51b}" ma:internalName="TaxCatchAll" ma:showField="CatchAllData" ma:web="2afdbb08-ee7a-4098-a500-981b081c7a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09d9e4-c2f9-4a9d-8201-9d5063684c05">
      <Terms xmlns="http://schemas.microsoft.com/office/infopath/2007/PartnerControls"/>
    </lcf76f155ced4ddcb4097134ff3c332f>
    <TaxCatchAll xmlns="2afdbb08-ee7a-4098-a500-981b081c7a8a" xsi:nil="true"/>
    <SharedWithUsers xmlns="2afdbb08-ee7a-4098-a500-981b081c7a8a">
      <UserInfo>
        <DisplayName>Paul Bonighton</DisplayName>
        <AccountId>43</AccountId>
        <AccountType/>
      </UserInfo>
      <UserInfo>
        <DisplayName>Jess van de Weyer</DisplayName>
        <AccountId>60</AccountId>
        <AccountType/>
      </UserInfo>
      <UserInfo>
        <DisplayName>Raymond Chia</DisplayName>
        <AccountId>162</AccountId>
        <AccountType/>
      </UserInfo>
      <UserInfo>
        <DisplayName>Rowena Davis</DisplayName>
        <AccountId>121</AccountId>
        <AccountType/>
      </UserInfo>
      <UserInfo>
        <DisplayName>Jennifer Stone</DisplayName>
        <AccountId>73</AccountId>
        <AccountType/>
      </UserInfo>
    </SharedWithUsers>
    <LikesCount xmlns="http://schemas.microsoft.com/sharepoint/v3" xsi:nil="true"/>
    <v4k6 xmlns="9309d9e4-c2f9-4a9d-8201-9d5063684c05" xsi:nil="true"/>
    <vwhe xmlns="9309d9e4-c2f9-4a9d-8201-9d5063684c05"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n3ki xmlns="9309d9e4-c2f9-4a9d-8201-9d5063684c05" xsi:nil="true"/>
  </documentManagement>
</p:properties>
</file>

<file path=customXml/itemProps1.xml><?xml version="1.0" encoding="utf-8"?>
<ds:datastoreItem xmlns:ds="http://schemas.openxmlformats.org/officeDocument/2006/customXml" ds:itemID="{53E2B987-FA49-4D54-A4FF-99ED12967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09d9e4-c2f9-4a9d-8201-9d5063684c05"/>
    <ds:schemaRef ds:uri="2afdbb08-ee7a-4098-a500-981b081c7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EB4E7-B374-4D24-B5AC-2AA22AB81192}">
  <ds:schemaRefs>
    <ds:schemaRef ds:uri="http://schemas.microsoft.com/sharepoint/v3/contenttype/forms"/>
  </ds:schemaRefs>
</ds:datastoreItem>
</file>

<file path=customXml/itemProps3.xml><?xml version="1.0" encoding="utf-8"?>
<ds:datastoreItem xmlns:ds="http://schemas.openxmlformats.org/officeDocument/2006/customXml" ds:itemID="{558E21F9-1858-4884-BFD2-8CD5749B092C}">
  <ds:schemaRefs>
    <ds:schemaRef ds:uri="http://schemas.microsoft.com/office/2006/metadata/properties"/>
    <ds:schemaRef ds:uri="http://schemas.microsoft.com/office/infopath/2007/PartnerControls"/>
    <ds:schemaRef ds:uri="5e188796-58d2-402f-b02a-4922a5e9641a"/>
    <ds:schemaRef ds:uri="905fc94f-4145-426d-bfc2-364f038d0aaa"/>
    <ds:schemaRef ds:uri="9309d9e4-c2f9-4a9d-8201-9d5063684c05"/>
    <ds:schemaRef ds:uri="2afdbb08-ee7a-4098-a500-981b081c7a8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DavidG Design</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Gollasch</dc:creator>
  <cp:keywords/>
  <cp:lastModifiedBy>Bjorn Ludvigsen</cp:lastModifiedBy>
  <cp:revision>11</cp:revision>
  <dcterms:created xsi:type="dcterms:W3CDTF">2022-06-22T00:00:00Z</dcterms:created>
  <dcterms:modified xsi:type="dcterms:W3CDTF">2022-06-22T05:42:00Z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0x010100001BE4169F564C46814BB9FAB023518F</vt:lpwstr>
  </property>
  <property fmtid="{D5CDD505-2E9C-101B-9397-08002B2CF9AE}" pid="3" name="MediaServiceImageTags">
    <vt:lpwstr/>
  </property>
</Properties>
</file>